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bookmarkStart w:id="12" w:name="_GoBack"/>
      <w:bookmarkEnd w:id="12"/>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27                               R2-2407027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Maastricht, Netherlands, Aug.</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19</w:t>
      </w:r>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Aug.</w:t>
      </w:r>
      <w:r>
        <w:rPr>
          <w:rFonts w:hint="eastAsia" w:ascii="Arial" w:hAnsi="Arial" w:eastAsia="MS Mincho" w:cs="Times New Roman"/>
          <w:b/>
          <w:sz w:val="24"/>
          <w:szCs w:val="24"/>
          <w:lang w:val="en-US" w:eastAsia="zh-CN" w:bidi="ar-SA"/>
        </w:rPr>
        <w:t>23</w:t>
      </w:r>
      <w:r>
        <w:rPr>
          <w:rFonts w:hint="eastAsia" w:ascii="Arial" w:hAnsi="Arial" w:eastAsia="MS Mincho" w:cs="Times New Roman"/>
          <w:b/>
          <w:sz w:val="24"/>
          <w:szCs w:val="24"/>
          <w:vertAlign w:val="superscript"/>
          <w:lang w:val="en-US" w:eastAsia="zh-CN" w:bidi="ar-SA"/>
        </w:rPr>
        <w:t>rd</w:t>
      </w:r>
      <w:r>
        <w:rPr>
          <w:rFonts w:ascii="Arial" w:hAnsi="Arial" w:eastAsia="MS Mincho" w:cs="Times New Roman"/>
          <w:b/>
          <w:sz w:val="24"/>
          <w:szCs w:val="24"/>
          <w:lang w:val="en-GB" w:eastAsia="zh-CN" w:bidi="ar-SA"/>
        </w:rPr>
        <w:t>, 202</w:t>
      </w:r>
      <w:r>
        <w:rPr>
          <w:rFonts w:hint="eastAsia" w:ascii="Arial" w:hAnsi="Arial" w:eastAsia="MS Mincho" w:cs="Times New Roman"/>
          <w:b/>
          <w:sz w:val="24"/>
          <w:szCs w:val="24"/>
          <w:lang w:val="en-US" w:eastAsia="zh-CN" w:bidi="ar-SA"/>
        </w:rPr>
        <w:t>4</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Store&amp;Forward</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RAN2#126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support of Store&amp;Forward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pPr>
      <w:r>
        <w:t>Agreements:</w:t>
      </w:r>
    </w:p>
    <w:p>
      <w:pPr>
        <w:pStyle w:val="41"/>
        <w:pBdr>
          <w:top w:val="single" w:color="auto" w:sz="4" w:space="1"/>
          <w:left w:val="single" w:color="auto" w:sz="4" w:space="4"/>
          <w:bottom w:val="single" w:color="auto" w:sz="4" w:space="1"/>
          <w:right w:val="single" w:color="auto" w:sz="4" w:space="4"/>
        </w:pBdr>
      </w:pPr>
      <w:r>
        <w:t>1.</w:t>
      </w:r>
      <w:r>
        <w:tab/>
      </w:r>
      <w:r>
        <w:t>For the uplink/downlink messages transmission for MO, from RAN2 perspective the following steps are taken as baseline for S&amp;F satellite operation (in case only eNB is on the satellite):</w:t>
      </w:r>
    </w:p>
    <w:p>
      <w:pPr>
        <w:pStyle w:val="41"/>
        <w:pBdr>
          <w:top w:val="single" w:color="auto" w:sz="4" w:space="1"/>
          <w:left w:val="single" w:color="auto" w:sz="4" w:space="4"/>
          <w:bottom w:val="single" w:color="auto" w:sz="4" w:space="1"/>
          <w:right w:val="single" w:color="auto" w:sz="4" w:space="4"/>
        </w:pBdr>
      </w:pPr>
      <w:r>
        <w:tab/>
      </w:r>
      <w:r>
        <w:t xml:space="preserve">1) The UE sends uplink data signalling to eNB when service link is available and the eNB stores it. </w:t>
      </w:r>
    </w:p>
    <w:p>
      <w:pPr>
        <w:pStyle w:val="41"/>
        <w:pBdr>
          <w:top w:val="single" w:color="auto" w:sz="4" w:space="1"/>
          <w:left w:val="single" w:color="auto" w:sz="4" w:space="4"/>
          <w:bottom w:val="single" w:color="auto" w:sz="4" w:space="1"/>
          <w:right w:val="single" w:color="auto" w:sz="4" w:space="4"/>
        </w:pBdr>
      </w:pPr>
      <w:r>
        <w:tab/>
      </w:r>
      <w:r>
        <w:t>2) When feeder link is available, the eNB sends the uplink data/NAS signalling to the CN.</w:t>
      </w:r>
    </w:p>
    <w:p>
      <w:pPr>
        <w:pStyle w:val="41"/>
        <w:pBdr>
          <w:top w:val="single" w:color="auto" w:sz="4" w:space="1"/>
          <w:left w:val="single" w:color="auto" w:sz="4" w:space="4"/>
          <w:bottom w:val="single" w:color="auto" w:sz="4" w:space="1"/>
          <w:right w:val="single" w:color="auto" w:sz="4" w:space="4"/>
        </w:pBdr>
      </w:pPr>
      <w:r>
        <w:tab/>
      </w:r>
      <w:r>
        <w:t>3) The eNB (same or different) receives the downlink data/NAS signalling from the CN and stores it when feeder link is available (and service link is not available).</w:t>
      </w:r>
    </w:p>
    <w:p>
      <w:pPr>
        <w:pStyle w:val="41"/>
        <w:pBdr>
          <w:top w:val="single" w:color="auto" w:sz="4" w:space="1"/>
          <w:left w:val="single" w:color="auto" w:sz="4" w:space="4"/>
          <w:bottom w:val="single" w:color="auto" w:sz="4" w:space="1"/>
          <w:right w:val="single" w:color="auto" w:sz="4" w:space="4"/>
        </w:pBdr>
      </w:pPr>
      <w:r>
        <w:tab/>
      </w:r>
      <w:r>
        <w:t>4) The eNB (same or different) sends the downlink data/signalling to the UE when service link is available again</w:t>
      </w:r>
    </w:p>
    <w:p>
      <w:pPr>
        <w:pStyle w:val="41"/>
        <w:pBdr>
          <w:top w:val="single" w:color="auto" w:sz="4" w:space="1"/>
          <w:left w:val="single" w:color="auto" w:sz="4" w:space="4"/>
          <w:bottom w:val="single" w:color="auto" w:sz="4" w:space="1"/>
          <w:right w:val="single" w:color="auto" w:sz="4" w:space="4"/>
        </w:pBdr>
      </w:pPr>
      <w:r>
        <w:t>2.</w:t>
      </w:r>
      <w:r>
        <w:tab/>
      </w:r>
      <w:r>
        <w:t>S&amp;F indication can be provided by SIB (FFS on the details). RAN2 assumes that no NAS indication is needed</w:t>
      </w:r>
    </w:p>
    <w:p>
      <w:pPr>
        <w:pStyle w:val="41"/>
        <w:pBdr>
          <w:top w:val="single" w:color="auto" w:sz="4" w:space="1"/>
          <w:left w:val="single" w:color="auto" w:sz="4" w:space="4"/>
          <w:bottom w:val="single" w:color="auto" w:sz="4" w:space="1"/>
          <w:right w:val="single" w:color="auto" w:sz="4" w:space="4"/>
        </w:pBdr>
      </w:pPr>
      <w:r>
        <w:t>3.</w:t>
      </w:r>
      <w:r>
        <w:tab/>
      </w:r>
      <w:r>
        <w:t xml:space="preserve">RAN2 understands legacy UEs may be barred by legacy cellBarred and cellBarredNTN </w:t>
      </w:r>
    </w:p>
    <w:p>
      <w:pPr>
        <w:pStyle w:val="41"/>
        <w:pBdr>
          <w:top w:val="single" w:color="auto" w:sz="4" w:space="1"/>
          <w:left w:val="single" w:color="auto" w:sz="4" w:space="4"/>
          <w:bottom w:val="single" w:color="auto" w:sz="4" w:space="1"/>
          <w:right w:val="single" w:color="auto" w:sz="4" w:space="4"/>
        </w:pBdr>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w:t>
      </w:r>
      <w:r>
        <w:rPr>
          <w:rFonts w:hint="eastAsia" w:ascii="Arial" w:hAnsi="Arial" w:eastAsia="MS Mincho" w:cs="Arial"/>
          <w:sz w:val="21"/>
          <w:szCs w:val="20"/>
          <w:lang w:val="en-US" w:eastAsia="zh-CN"/>
        </w:rPr>
        <w:t>e</w:t>
      </w:r>
      <w:r>
        <w:rPr>
          <w:rFonts w:hint="eastAsia" w:ascii="Arial" w:hAnsi="Arial" w:cs="Arial"/>
          <w:sz w:val="21"/>
          <w:szCs w:val="20"/>
        </w:rPr>
        <w:t xml:space="preserve"> issue</w:t>
      </w:r>
      <w:r>
        <w:rPr>
          <w:rFonts w:hint="eastAsia" w:ascii="Arial" w:hAnsi="Arial" w:eastAsia="MS Mincho" w:cs="Arial"/>
          <w:sz w:val="21"/>
          <w:szCs w:val="20"/>
          <w:lang w:val="en-US" w:eastAsia="zh-CN"/>
        </w:rPr>
        <w:t>s</w:t>
      </w:r>
      <w:r>
        <w:rPr>
          <w:rFonts w:hint="eastAsia" w:ascii="Arial" w:hAnsi="Arial" w:eastAsia="MS Mincho"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Awareness of satellite Store&amp;Forward mode</w:t>
      </w:r>
    </w:p>
    <w:p>
      <w:pPr>
        <w:spacing w:before="240" w:line="360" w:lineRule="auto"/>
        <w:rPr>
          <w:rFonts w:hint="default" w:eastAsia="宋体"/>
          <w:lang w:val="en-US" w:eastAsia="zh-CN"/>
        </w:rPr>
      </w:pPr>
      <w:r>
        <w:rPr>
          <w:rFonts w:hint="eastAsia" w:ascii="Arial" w:hAnsi="Arial" w:eastAsia="宋体" w:cs="Arial"/>
          <w:sz w:val="21"/>
          <w:szCs w:val="20"/>
          <w:lang w:val="en-US" w:eastAsia="zh-CN" w:bidi="ar-SA"/>
        </w:rPr>
        <w:t>In last meeting the S&amp;F indication has been discussed and has made agreements that the S&amp;F indication can be provided by SIB(FFS on the details) and RAN2 assumes that no NAS indication is needed. As the details for the provision of the S&amp;F indication by SIB, there are three approaches to achieve this: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One direct approach is the network signals the current operation mode of the satellite. For example, when the satellite has feeder link with the ground, the network signaling the current operation mode is S&amp;F mode and when the satellite doesn</w:t>
      </w:r>
      <w:r>
        <w:rPr>
          <w:rFonts w:hint="default" w:ascii="Arial" w:hAnsi="Arial" w:eastAsia="宋体" w:cs="Arial"/>
          <w:b w:val="0"/>
          <w:bCs w:val="0"/>
          <w:sz w:val="21"/>
          <w:szCs w:val="20"/>
          <w:lang w:val="en-US" w:eastAsia="zh-CN" w:bidi="ar-SA"/>
        </w:rPr>
        <w:t>’</w:t>
      </w:r>
      <w:r>
        <w:rPr>
          <w:rFonts w:hint="eastAsia" w:ascii="Arial" w:hAnsi="Arial" w:eastAsia="宋体" w:cs="Arial"/>
          <w:b w:val="0"/>
          <w:bCs w:val="0"/>
          <w:sz w:val="21"/>
          <w:szCs w:val="20"/>
          <w:lang w:val="en-US" w:eastAsia="zh-CN" w:bidi="ar-SA"/>
        </w:rPr>
        <w:t>t has feeder link with the ground, the network signals the current operation mode is normal mode. As this information is common to all UEs, this can be done by SIB(e.g. SIB31). And the UE needs to keep updated of the operate mode of the satellite.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The second approach is the network signals the current operation mode of the satellite and the change time of next operation mode change. For example, current the satellite has feeder link with the ground and the feeder link will lost in time T or duration T, the network can signaling the current operation mode is S&amp;F mode and the mode change time is T or in duration T, thus in time T or after duration T, the satellite works in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The third approach is let the UE predicting the operation mode of the satellite with some assistant information provided by SIB. In R17, the support of discontinuous coverage was introduced for UE predicting the coverage of the satellite. This is done by the NTN payload assistance information provided by network. The discontinuous coverage predicting in R17 is actually the predicting of the service link between the NTN payload and the UE exist or not. In R19 the operation mode of the satellite is related to the exist of the feeder link between the NTN Gateway and the NTN payload. So similar to the R17 discontinuous coverage predicting, the operation mode of the satellite can be predicted by UE with the feeder link assistance information provided by network.</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bookmarkStart w:id="1" w:name="OLE_LINK2"/>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following three approaches for the UE to know the operation mode of the satellite:</w:t>
      </w:r>
    </w:p>
    <w:bookmarkEnd w:id="1"/>
    <w:p>
      <w:pPr>
        <w:pStyle w:val="94"/>
        <w:keepNext w:val="0"/>
        <w:keepLines w:val="0"/>
        <w:pageBreakBefore w:val="0"/>
        <w:widowControl w:val="0"/>
        <w:numPr>
          <w:ilvl w:val="0"/>
          <w:numId w:val="6"/>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w:t>
      </w:r>
    </w:p>
    <w:p>
      <w:pPr>
        <w:pStyle w:val="94"/>
        <w:keepNext w:val="0"/>
        <w:keepLines w:val="0"/>
        <w:pageBreakBefore w:val="0"/>
        <w:widowControl w:val="0"/>
        <w:numPr>
          <w:ilvl w:val="0"/>
          <w:numId w:val="6"/>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59"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 and the change time of next operation mode change.</w:t>
      </w:r>
    </w:p>
    <w:p>
      <w:pPr>
        <w:pStyle w:val="94"/>
        <w:keepNext w:val="0"/>
        <w:keepLines w:val="0"/>
        <w:pageBreakBefore w:val="0"/>
        <w:widowControl w:val="0"/>
        <w:numPr>
          <w:ilvl w:val="0"/>
          <w:numId w:val="6"/>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UE predicts the operation mode of the satellite with some assistance information provided by network.</w:t>
      </w:r>
    </w:p>
    <w:p>
      <w:pPr>
        <w:pStyle w:val="3"/>
        <w:rPr>
          <w:rFonts w:hint="default"/>
          <w:lang w:val="en-US" w:eastAsia="zh-CN"/>
        </w:rPr>
      </w:pPr>
      <w:r>
        <w:rPr>
          <w:rFonts w:hint="eastAsia"/>
          <w:lang w:val="en-US" w:eastAsia="zh-CN"/>
        </w:rPr>
        <w:t xml:space="preserve"> Deployment scenarios for S&amp;F</w:t>
      </w:r>
    </w:p>
    <w:p>
      <w:pPr>
        <w:widowControl/>
        <w:rPr>
          <w:rFonts w:hint="eastAsia"/>
          <w:lang w:val="en-US" w:eastAsia="zh-CN"/>
        </w:rPr>
      </w:pPr>
    </w:p>
    <w:p>
      <w:pPr>
        <w:widowControl/>
        <w:spacing w:line="360" w:lineRule="auto"/>
        <w:rPr>
          <w:rFonts w:hint="default" w:ascii="Arial" w:hAnsi="Arial" w:cs="Arial"/>
          <w:lang w:val="en-US" w:eastAsia="zh-CN"/>
        </w:rPr>
      </w:pPr>
      <w:r>
        <w:rPr>
          <w:rFonts w:hint="default" w:ascii="Arial" w:hAnsi="Arial" w:cs="Arial"/>
          <w:lang w:val="en-US" w:eastAsia="zh-CN"/>
        </w:rPr>
        <w:t xml:space="preserve">In </w:t>
      </w:r>
      <w:r>
        <w:rPr>
          <w:rFonts w:hint="eastAsia" w:ascii="Arial" w:hAnsi="Arial" w:cs="Arial"/>
          <w:lang w:val="en-US" w:eastAsia="zh-CN"/>
        </w:rPr>
        <w:t xml:space="preserve">the </w:t>
      </w:r>
      <w:r>
        <w:rPr>
          <w:rFonts w:hint="default" w:ascii="Arial" w:hAnsi="Arial" w:cs="Arial"/>
          <w:lang w:val="en-US" w:eastAsia="zh-CN"/>
        </w:rPr>
        <w:t xml:space="preserve">last meeting, there were contributions proposed that RAN2 should focus on </w:t>
      </w:r>
      <w:bookmarkStart w:id="2" w:name="OLE_LINK8"/>
      <w:r>
        <w:rPr>
          <w:rFonts w:hint="default" w:ascii="Arial" w:hAnsi="Arial" w:cs="Arial"/>
          <w:lang w:val="en-US" w:eastAsia="zh-CN"/>
        </w:rPr>
        <w:t>single satellite solution</w:t>
      </w:r>
      <w:bookmarkEnd w:id="2"/>
      <w:r>
        <w:rPr>
          <w:rFonts w:hint="default" w:ascii="Arial" w:hAnsi="Arial" w:cs="Arial"/>
          <w:lang w:val="en-US" w:eastAsia="zh-CN"/>
        </w:rPr>
        <w:t xml:space="preserve"> for S&amp;F at first. For single satellite solution, the UE only needs to communicate with one satellite</w:t>
      </w:r>
      <w:r>
        <w:rPr>
          <w:rFonts w:hint="eastAsia" w:ascii="Arial" w:hAnsi="Arial" w:cs="Arial"/>
          <w:lang w:val="en-US" w:eastAsia="zh-CN"/>
        </w:rPr>
        <w:t xml:space="preserve"> for one session and the UE context is stored at the sate satellite until all data transmission is over. The single satellite solution is simple and good for the UE context process, however it brings latency and wastes the satellite resources as the UE has to wait for the certain satellite that last serving the UE. The single satellite solution is a special case for the multi-satellite solution and can be easily achieved. So the </w:t>
      </w:r>
      <w:r>
        <w:rPr>
          <w:rFonts w:hint="default" w:ascii="Arial" w:hAnsi="Arial" w:cs="Arial"/>
          <w:lang w:val="en-US" w:eastAsia="zh-CN"/>
        </w:rPr>
        <w:t>single satellite solution</w:t>
      </w:r>
      <w:r>
        <w:rPr>
          <w:rFonts w:hint="eastAsia" w:ascii="Arial" w:hAnsi="Arial" w:cs="Arial"/>
          <w:lang w:val="en-US" w:eastAsia="zh-CN"/>
        </w:rPr>
        <w:t xml:space="preserve"> and the multi-satellite solution should have same priority.</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textAlignment w:val="auto"/>
        <w:rPr>
          <w:rFonts w:hint="default" w:ascii="Arial" w:hAnsi="Arial" w:cs="Arial" w:eastAsiaTheme="minorEastAsia"/>
          <w:b/>
          <w:bCs/>
          <w:sz w:val="20"/>
          <w:szCs w:val="20"/>
          <w:lang w:val="en-US" w:eastAsia="zh-CN"/>
        </w:rPr>
      </w:pPr>
      <w:bookmarkStart w:id="3" w:name="OLE_LINK9"/>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single satellite solution and multi-satellite solution should both supported and have same priority.</w:t>
      </w:r>
    </w:p>
    <w:bookmarkEnd w:id="3"/>
    <w:p>
      <w:pPr>
        <w:pStyle w:val="3"/>
        <w:bidi w:val="0"/>
        <w:rPr>
          <w:rFonts w:hint="default"/>
          <w:lang w:val="en-US" w:eastAsia="zh-CN"/>
        </w:rPr>
      </w:pPr>
      <w:bookmarkStart w:id="4" w:name="OLE_LINK4"/>
      <w:r>
        <w:rPr>
          <w:rFonts w:hint="eastAsia"/>
          <w:lang w:val="en-US" w:eastAsia="zh-CN"/>
        </w:rPr>
        <w:t xml:space="preserve"> Paging enhancement in satellite Store&amp;Forward mode</w:t>
      </w:r>
    </w:p>
    <w:bookmarkEnd w:id="4"/>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 xml:space="preserve">Now the paging procedure in eNodeB is triggered by Core network, and the incoming paging message can be considered random. When the eNodeB receives paging message from CN, it triggers paging at the PF&amp;PO at every DRX cycle according the TS36.304. For the satellite in S&amp;F mode, the </w:t>
      </w:r>
      <w:bookmarkStart w:id="5" w:name="OLE_LINK3"/>
      <w:r>
        <w:rPr>
          <w:rFonts w:hint="eastAsia" w:ascii="Arial" w:hAnsi="Arial" w:cs="Arial" w:eastAsiaTheme="minorEastAsia"/>
          <w:b w:val="0"/>
          <w:bCs/>
          <w:sz w:val="20"/>
          <w:szCs w:val="20"/>
          <w:lang w:val="en-US" w:eastAsia="zh-CN"/>
        </w:rPr>
        <w:t xml:space="preserve">satellite </w:t>
      </w:r>
      <w:bookmarkEnd w:id="5"/>
      <w:r>
        <w:rPr>
          <w:rFonts w:hint="eastAsia" w:ascii="Arial" w:hAnsi="Arial" w:cs="Arial" w:eastAsiaTheme="minorEastAsia"/>
          <w:b w:val="0"/>
          <w:bCs/>
          <w:sz w:val="20"/>
          <w:szCs w:val="20"/>
          <w:lang w:val="en-US" w:eastAsia="zh-CN"/>
        </w:rPr>
        <w:t>has already stored the downlink data for UE in advance, and needs to page the UE when the satellite flyover the UE. As the satellite doesn</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t know when to provide service for the UE, the paging sending time or area information needed to be provided by the Core network in advance.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start time or area information needed to be provided to the satellite by the Core network in advance for the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which UE needed to be paged and the paging demand is not random anymore and as the large coverage of the satellite, the number of UEs needed to be paged and the amount of downlink data needed to be send by the satellite maybe huge,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Times New Roman" w:hAnsi="Times New Roman"/>
          <w:sz w:val="20"/>
          <w:szCs w:val="20"/>
          <w:highlight w:val="none"/>
          <w:lang w:val="en-US"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The satellite in S&amp;F mode can distribute the paging message in time to avoid congestion from network</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perspective, however the UE has to monitor the PF/POs in every DRX cycle no matter whether there is a paging for the UE or not and there are no more paging message from the core network as there is no feeder link between the satellite and the ground, so the paging send by satellite and paging monitoring by UE can be optimized for power saving. For example there can be two DRX parameters which is different for S&amp;F mode and normal mode, the DRX cycle or nB for S&amp;F mode can be set larger than those in normal mode. Moreover if the UE keeps monitoring paging for some cycle or some times and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bookmarkStart w:id="6"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send or monitoring can be optimized for power saving when network operates in S&amp;F mode.</w:t>
      </w:r>
    </w:p>
    <w:bookmarkEnd w:id="6"/>
    <w:p>
      <w:pPr>
        <w:pStyle w:val="3"/>
        <w:bidi w:val="0"/>
        <w:rPr>
          <w:rFonts w:hint="default"/>
          <w:lang w:val="en-US" w:eastAsia="zh-CN"/>
        </w:rPr>
      </w:pPr>
      <w:r>
        <w:rPr>
          <w:rFonts w:hint="eastAsia"/>
          <w:lang w:val="en-US" w:eastAsia="zh-CN"/>
        </w:rPr>
        <w:t xml:space="preserve"> Signaling enhancement in satellite Store&amp;Forward mode</w:t>
      </w:r>
    </w:p>
    <w:p>
      <w:pPr>
        <w:rPr>
          <w:rFonts w:hint="default"/>
          <w:lang w:val="en-US"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Some control panel signaling or NAS signaling need the UE to interact with the core network(e.g. Attach procedure, Initial Context Setup procedure,etc.), which need the service link and feeder link exist at the same time. For the satellite in S&amp;F mode, the satellite has to store the signaling for the UE and send to the core network feeder link recovery. The satellite has to store the signaling from the core network and send to the UE when flying over the UE. The UE has to suspend the process before the completing of the signaling interact. As the satellite knows when the feeder link will recovered, thus the satellite will forward the stored signaling to the core network, and the core network will response the signaling. Then the response signaling can be send to a specific satellite which will serve the UE in the incoming time. The satellite which will serve the UE in the incoming time and can carry the response signaling can be predicted by current satellite and indicate to the UE and the core network, in this way the core network can send the response signaling to the satellite indicated by current satellite after receiving the stored signaling from current satellite, and the UE can try to receive the response signaling from the satellite indicated by the current satellite and no need to monitor paging from other satellites, which is good for power saving.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ascii="Arial" w:hAnsi="Arial" w:cs="Arial" w:eastAsiaTheme="minorEastAsia"/>
          <w:b/>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next satellite information which may carry the response signaling the UE needed can be provided by the current satellite to UE and the core network for power saving.</w:t>
      </w: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following three approaches for the UE to know the operation mode of the satellite:</w:t>
      </w:r>
    </w:p>
    <w:p>
      <w:pPr>
        <w:pStyle w:val="94"/>
        <w:keepNext w:val="0"/>
        <w:keepLines w:val="0"/>
        <w:pageBreakBefore w:val="0"/>
        <w:widowControl w:val="0"/>
        <w:numPr>
          <w:ilvl w:val="0"/>
          <w:numId w:val="6"/>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w:t>
      </w:r>
    </w:p>
    <w:p>
      <w:pPr>
        <w:pStyle w:val="94"/>
        <w:keepNext w:val="0"/>
        <w:keepLines w:val="0"/>
        <w:pageBreakBefore w:val="0"/>
        <w:widowControl w:val="0"/>
        <w:numPr>
          <w:ilvl w:val="0"/>
          <w:numId w:val="6"/>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59"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 and the change time of next operation mode change.</w:t>
      </w:r>
    </w:p>
    <w:p>
      <w:pPr>
        <w:pStyle w:val="94"/>
        <w:keepNext w:val="0"/>
        <w:keepLines w:val="0"/>
        <w:pageBreakBefore w:val="0"/>
        <w:widowControl w:val="0"/>
        <w:numPr>
          <w:ilvl w:val="0"/>
          <w:numId w:val="6"/>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UE predicts the operation mode of the satellite with some assistance information provided by network.</w:t>
      </w:r>
    </w:p>
    <w:p>
      <w:pPr>
        <w:pStyle w:val="94"/>
        <w:widowControl w:val="0"/>
        <w:numPr>
          <w:ilvl w:val="0"/>
          <w:numId w:val="0"/>
        </w:numPr>
        <w:tabs>
          <w:tab w:val="clear" w:pos="1304"/>
        </w:tabs>
        <w:spacing w:before="361" w:beforeLines="100" w:after="0"/>
        <w:rPr>
          <w:rFonts w:hint="eastAsia" w:ascii="Arial" w:hAnsi="Arial" w:cs="Arial" w:eastAsiaTheme="minorEastAsia"/>
          <w:b/>
          <w:bCs w:val="0"/>
          <w:kern w:val="0"/>
          <w:szCs w:val="18"/>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single satellite solution and multi-satellite solution should both supported and have same priority.</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start time or area information needed provided to the satellite by the Core network in advance for the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monitoring can be optimized for power saving when network operates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b w:val="0"/>
          <w:bCs w:val="0"/>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next satellite information which may carry the response signaling the UE needed can be provided by the current satellite to UE and the core network for power saving.</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p>
    <w:p>
      <w:pPr>
        <w:pStyle w:val="2"/>
        <w:keepLines/>
        <w:pBdr>
          <w:top w:val="single" w:color="auto" w:sz="12" w:space="3"/>
        </w:pBdr>
        <w:spacing w:before="240" w:after="180"/>
        <w:ind w:left="425" w:hanging="425"/>
        <w:jc w:val="both"/>
      </w:pPr>
      <w:bookmarkStart w:id="7" w:name="OLE_LINK47"/>
      <w:bookmarkStart w:id="8" w:name="OLE_LINK48"/>
      <w:bookmarkStart w:id="9" w:name="OLE_LINK60"/>
      <w:bookmarkStart w:id="10" w:name="OLE_LINK58"/>
      <w:bookmarkStart w:id="11" w:name="OLE_LINK59"/>
      <w:r>
        <w:t>Reference</w:t>
      </w:r>
      <w:bookmarkEnd w:id="7"/>
      <w:bookmarkEnd w:id="8"/>
      <w:bookmarkEnd w:id="9"/>
      <w:bookmarkEnd w:id="10"/>
      <w:bookmarkEnd w:id="11"/>
    </w:p>
    <w:p>
      <w:pPr>
        <w:pStyle w:val="11"/>
        <w:numPr>
          <w:ilvl w:val="0"/>
          <w:numId w:val="7"/>
        </w:numPr>
        <w:spacing w:before="120" w:beforeLines="50"/>
        <w:rPr>
          <w:rFonts w:eastAsia="宋体"/>
          <w:lang w:eastAsia="zh-CN"/>
        </w:rPr>
      </w:pPr>
      <w:r>
        <w:rPr>
          <w:rFonts w:hint="default" w:eastAsia="宋体"/>
          <w:lang w:val="en-US" w:eastAsia="zh-CN"/>
        </w:rPr>
        <w:t>“</w:t>
      </w:r>
      <w:r>
        <w:rPr>
          <w:rFonts w:hint="eastAsia" w:eastAsia="宋体"/>
          <w:lang w:val="en-US" w:eastAsia="zh-CN"/>
        </w:rPr>
        <w:t>Draft_R2_126_Meeting_Report_v1</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A7B900"/>
    <w:multiLevelType w:val="singleLevel"/>
    <w:tmpl w:val="AAA7B900"/>
    <w:lvl w:ilvl="0" w:tentative="0">
      <w:start w:val="1"/>
      <w:numFmt w:val="bullet"/>
      <w:lvlText w:val=""/>
      <w:lvlJc w:val="left"/>
      <w:pPr>
        <w:tabs>
          <w:tab w:val="left" w:pos="1260"/>
        </w:tabs>
        <w:ind w:left="1260" w:leftChars="0" w:firstLine="0" w:firstLineChars="0"/>
      </w:pPr>
      <w:rPr>
        <w:rFonts w:hint="default" w:ascii="Wingdings" w:hAnsi="Wingdings"/>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4"/>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304423A"/>
    <w:rsid w:val="035F60CC"/>
    <w:rsid w:val="03F47970"/>
    <w:rsid w:val="04044F9A"/>
    <w:rsid w:val="050C0141"/>
    <w:rsid w:val="06510970"/>
    <w:rsid w:val="06797CD3"/>
    <w:rsid w:val="06A00757"/>
    <w:rsid w:val="06FF294D"/>
    <w:rsid w:val="07EF5BD4"/>
    <w:rsid w:val="082F6FF7"/>
    <w:rsid w:val="08415DB4"/>
    <w:rsid w:val="08454AB2"/>
    <w:rsid w:val="084C139F"/>
    <w:rsid w:val="08A22A43"/>
    <w:rsid w:val="094D21CC"/>
    <w:rsid w:val="0A6D15CC"/>
    <w:rsid w:val="0D860A22"/>
    <w:rsid w:val="0F417E38"/>
    <w:rsid w:val="103C0B3D"/>
    <w:rsid w:val="108123D4"/>
    <w:rsid w:val="10C66D19"/>
    <w:rsid w:val="12105415"/>
    <w:rsid w:val="126256E5"/>
    <w:rsid w:val="14926ED8"/>
    <w:rsid w:val="15215CC8"/>
    <w:rsid w:val="15462052"/>
    <w:rsid w:val="15DE1242"/>
    <w:rsid w:val="166C39B7"/>
    <w:rsid w:val="16AA6D34"/>
    <w:rsid w:val="176647AC"/>
    <w:rsid w:val="179A1B0C"/>
    <w:rsid w:val="198E0015"/>
    <w:rsid w:val="1ABB6560"/>
    <w:rsid w:val="1B445D6E"/>
    <w:rsid w:val="1B59397D"/>
    <w:rsid w:val="1C7B4CA3"/>
    <w:rsid w:val="1CA1384F"/>
    <w:rsid w:val="1E0B7CB6"/>
    <w:rsid w:val="1E523033"/>
    <w:rsid w:val="1F045CEA"/>
    <w:rsid w:val="1F2C7D23"/>
    <w:rsid w:val="1FAF7026"/>
    <w:rsid w:val="20462FD7"/>
    <w:rsid w:val="21CD368A"/>
    <w:rsid w:val="221016C7"/>
    <w:rsid w:val="228D678C"/>
    <w:rsid w:val="22A27F45"/>
    <w:rsid w:val="23967BC1"/>
    <w:rsid w:val="23BF020B"/>
    <w:rsid w:val="24805F2B"/>
    <w:rsid w:val="24966A58"/>
    <w:rsid w:val="24E86231"/>
    <w:rsid w:val="26131534"/>
    <w:rsid w:val="26672625"/>
    <w:rsid w:val="26F53B52"/>
    <w:rsid w:val="273C2AE6"/>
    <w:rsid w:val="27E9536C"/>
    <w:rsid w:val="282B7F1A"/>
    <w:rsid w:val="282E6418"/>
    <w:rsid w:val="28514B4F"/>
    <w:rsid w:val="2BC97744"/>
    <w:rsid w:val="2BDF7690"/>
    <w:rsid w:val="2C167DFF"/>
    <w:rsid w:val="2C5E3FAA"/>
    <w:rsid w:val="2DF85D92"/>
    <w:rsid w:val="2E3E1AA5"/>
    <w:rsid w:val="2EB13602"/>
    <w:rsid w:val="2FE018AF"/>
    <w:rsid w:val="30AD73A5"/>
    <w:rsid w:val="329B7C99"/>
    <w:rsid w:val="32C77F8C"/>
    <w:rsid w:val="32CB387D"/>
    <w:rsid w:val="32D55AB9"/>
    <w:rsid w:val="335B0D8A"/>
    <w:rsid w:val="33B41D34"/>
    <w:rsid w:val="33EF0217"/>
    <w:rsid w:val="356754B7"/>
    <w:rsid w:val="35A53430"/>
    <w:rsid w:val="37426E6E"/>
    <w:rsid w:val="38486C88"/>
    <w:rsid w:val="388B34B6"/>
    <w:rsid w:val="393B37B4"/>
    <w:rsid w:val="3A3A09C6"/>
    <w:rsid w:val="3B8D13D0"/>
    <w:rsid w:val="3B957525"/>
    <w:rsid w:val="3BE514B4"/>
    <w:rsid w:val="3C7A0817"/>
    <w:rsid w:val="3CBF641E"/>
    <w:rsid w:val="3CD70242"/>
    <w:rsid w:val="3E2248D8"/>
    <w:rsid w:val="3FE0616F"/>
    <w:rsid w:val="4016756E"/>
    <w:rsid w:val="40E05B05"/>
    <w:rsid w:val="41D14C1D"/>
    <w:rsid w:val="42353253"/>
    <w:rsid w:val="435F628D"/>
    <w:rsid w:val="45B063D8"/>
    <w:rsid w:val="46682B04"/>
    <w:rsid w:val="470C53DE"/>
    <w:rsid w:val="4779366F"/>
    <w:rsid w:val="47EC7853"/>
    <w:rsid w:val="482B0659"/>
    <w:rsid w:val="487E4912"/>
    <w:rsid w:val="48B061A5"/>
    <w:rsid w:val="48F165EB"/>
    <w:rsid w:val="49D966E1"/>
    <w:rsid w:val="49F62F33"/>
    <w:rsid w:val="4BD9044D"/>
    <w:rsid w:val="4CDB457B"/>
    <w:rsid w:val="4D5702DE"/>
    <w:rsid w:val="4D8917CF"/>
    <w:rsid w:val="4EFC5EF9"/>
    <w:rsid w:val="4F1F0E61"/>
    <w:rsid w:val="4FB27051"/>
    <w:rsid w:val="51951B3D"/>
    <w:rsid w:val="5215436D"/>
    <w:rsid w:val="55EB6E4E"/>
    <w:rsid w:val="561B49FC"/>
    <w:rsid w:val="56561485"/>
    <w:rsid w:val="58196C7F"/>
    <w:rsid w:val="5A0B344B"/>
    <w:rsid w:val="5A8C74D3"/>
    <w:rsid w:val="5C0031E7"/>
    <w:rsid w:val="5C481980"/>
    <w:rsid w:val="5CEE0CA7"/>
    <w:rsid w:val="5D474464"/>
    <w:rsid w:val="5EE9029B"/>
    <w:rsid w:val="5F7C0711"/>
    <w:rsid w:val="5FEF6ACE"/>
    <w:rsid w:val="60B34005"/>
    <w:rsid w:val="60E953AA"/>
    <w:rsid w:val="614420B6"/>
    <w:rsid w:val="61483DCA"/>
    <w:rsid w:val="61786A80"/>
    <w:rsid w:val="61BA59D1"/>
    <w:rsid w:val="61DC00C2"/>
    <w:rsid w:val="62590312"/>
    <w:rsid w:val="62815194"/>
    <w:rsid w:val="62BD5600"/>
    <w:rsid w:val="630A7F69"/>
    <w:rsid w:val="63E1421B"/>
    <w:rsid w:val="64034EA4"/>
    <w:rsid w:val="64C862AF"/>
    <w:rsid w:val="65184C81"/>
    <w:rsid w:val="651923CA"/>
    <w:rsid w:val="656D337B"/>
    <w:rsid w:val="66E37CF1"/>
    <w:rsid w:val="67DC720C"/>
    <w:rsid w:val="67E92655"/>
    <w:rsid w:val="681E2D2C"/>
    <w:rsid w:val="68377AAD"/>
    <w:rsid w:val="688B7936"/>
    <w:rsid w:val="68C77475"/>
    <w:rsid w:val="69701295"/>
    <w:rsid w:val="69A27629"/>
    <w:rsid w:val="6A9D7635"/>
    <w:rsid w:val="6ABC46FD"/>
    <w:rsid w:val="6B8D221A"/>
    <w:rsid w:val="6BBB6ACB"/>
    <w:rsid w:val="6BF4272A"/>
    <w:rsid w:val="6C750DEF"/>
    <w:rsid w:val="6CE858CE"/>
    <w:rsid w:val="6D16046B"/>
    <w:rsid w:val="6D8E2554"/>
    <w:rsid w:val="6D9A5E61"/>
    <w:rsid w:val="6E0D1FE7"/>
    <w:rsid w:val="6F740CE2"/>
    <w:rsid w:val="70436DC4"/>
    <w:rsid w:val="7055318F"/>
    <w:rsid w:val="70871801"/>
    <w:rsid w:val="71314C8A"/>
    <w:rsid w:val="71B9201A"/>
    <w:rsid w:val="72402019"/>
    <w:rsid w:val="727A4FD4"/>
    <w:rsid w:val="731D23A2"/>
    <w:rsid w:val="73707DE3"/>
    <w:rsid w:val="74201914"/>
    <w:rsid w:val="745C718B"/>
    <w:rsid w:val="74F97BE7"/>
    <w:rsid w:val="76700534"/>
    <w:rsid w:val="76A345D7"/>
    <w:rsid w:val="77760276"/>
    <w:rsid w:val="78911E34"/>
    <w:rsid w:val="7A4B5FBA"/>
    <w:rsid w:val="7A5E174B"/>
    <w:rsid w:val="7A9C4D88"/>
    <w:rsid w:val="7A9C7192"/>
    <w:rsid w:val="7B826359"/>
    <w:rsid w:val="7BF20CB4"/>
    <w:rsid w:val="7C330D5B"/>
    <w:rsid w:val="7CB92E75"/>
    <w:rsid w:val="7D86797B"/>
    <w:rsid w:val="7D8C0969"/>
    <w:rsid w:val="7DF4667A"/>
    <w:rsid w:val="7EC92764"/>
    <w:rsid w:val="7F3D09D5"/>
    <w:rsid w:val="7F40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27</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ww</cp:lastModifiedBy>
  <cp:lastPrinted>2007-08-29T03:45:00Z</cp:lastPrinted>
  <dcterms:modified xsi:type="dcterms:W3CDTF">2024-08-08T11:18:03Z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